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C0F3D" w14:textId="13E00806" w:rsidR="009846E0" w:rsidRPr="00BE55C3" w:rsidRDefault="00943A14" w:rsidP="00D90A87">
      <w:pPr>
        <w:jc w:val="both"/>
        <w:rPr>
          <w:rFonts w:ascii="Arial" w:hAnsi="Arial" w:cs="Arial"/>
        </w:rPr>
      </w:pPr>
      <w:r w:rsidRPr="00BE55C3">
        <w:rPr>
          <w:rFonts w:ascii="Arial" w:hAnsi="Arial" w:cs="Arial"/>
        </w:rPr>
        <w:t>L’objectif, l’indicateur et la cible sont les trois éléments à la base de la mesure des r</w:t>
      </w:r>
      <w:bookmarkStart w:id="0" w:name="_GoBack"/>
      <w:bookmarkEnd w:id="0"/>
      <w:r w:rsidRPr="00BE55C3">
        <w:rPr>
          <w:rFonts w:ascii="Arial" w:hAnsi="Arial" w:cs="Arial"/>
        </w:rPr>
        <w:t xml:space="preserve">ésultats. C’est par leur combinaison qu’il est possible d’exprimer le résultat attendu. </w:t>
      </w:r>
      <w:r w:rsidR="000E52BA" w:rsidRPr="00BE55C3">
        <w:rPr>
          <w:rFonts w:ascii="Arial" w:hAnsi="Arial" w:cs="Arial"/>
        </w:rPr>
        <w:t xml:space="preserve">Le </w:t>
      </w:r>
      <w:r w:rsidR="00126C28" w:rsidRPr="00BE55C3">
        <w:rPr>
          <w:rFonts w:ascii="Arial" w:hAnsi="Arial" w:cs="Arial"/>
        </w:rPr>
        <w:t xml:space="preserve">degré de </w:t>
      </w:r>
      <w:r w:rsidR="000E52BA" w:rsidRPr="00BE55C3">
        <w:rPr>
          <w:rFonts w:ascii="Arial" w:hAnsi="Arial" w:cs="Arial"/>
        </w:rPr>
        <w:t xml:space="preserve">succès </w:t>
      </w:r>
      <w:r w:rsidR="00D90A87" w:rsidRPr="00BE55C3">
        <w:rPr>
          <w:rFonts w:ascii="Arial" w:hAnsi="Arial" w:cs="Arial"/>
        </w:rPr>
        <w:t>d’un changement</w:t>
      </w:r>
      <w:r w:rsidR="000E52BA" w:rsidRPr="00BE55C3">
        <w:rPr>
          <w:rFonts w:ascii="Arial" w:hAnsi="Arial" w:cs="Arial"/>
        </w:rPr>
        <w:t xml:space="preserve"> </w:t>
      </w:r>
      <w:r w:rsidR="00126C28" w:rsidRPr="00BE55C3">
        <w:rPr>
          <w:rFonts w:ascii="Arial" w:hAnsi="Arial" w:cs="Arial"/>
        </w:rPr>
        <w:t>s’évalue</w:t>
      </w:r>
      <w:r w:rsidR="000E52BA" w:rsidRPr="00BE55C3">
        <w:rPr>
          <w:rFonts w:ascii="Arial" w:hAnsi="Arial" w:cs="Arial"/>
        </w:rPr>
        <w:t xml:space="preserve"> principalement par une combinaison d’efficacité </w:t>
      </w:r>
      <w:r w:rsidR="00D90A87" w:rsidRPr="00BE55C3">
        <w:rPr>
          <w:rFonts w:ascii="Arial" w:hAnsi="Arial" w:cs="Arial"/>
        </w:rPr>
        <w:t xml:space="preserve">(rapport entre les résultats obtenus et les cibles déterminées) </w:t>
      </w:r>
      <w:r w:rsidR="000E52BA" w:rsidRPr="00BE55C3">
        <w:rPr>
          <w:rFonts w:ascii="Arial" w:hAnsi="Arial" w:cs="Arial"/>
        </w:rPr>
        <w:t>et d’efficience</w:t>
      </w:r>
      <w:r w:rsidR="00D90A87" w:rsidRPr="00BE55C3">
        <w:rPr>
          <w:rFonts w:ascii="Arial" w:hAnsi="Arial" w:cs="Arial"/>
        </w:rPr>
        <w:t xml:space="preserve"> (rapport entre les services livrés et les ressources utilisées)</w:t>
      </w:r>
      <w:r w:rsidR="000E52BA" w:rsidRPr="00BE55C3">
        <w:rPr>
          <w:rFonts w:ascii="Arial" w:hAnsi="Arial" w:cs="Arial"/>
        </w:rPr>
        <w:t>.</w:t>
      </w:r>
      <w:r w:rsidR="000E52BA" w:rsidRPr="00BE55C3">
        <w:rPr>
          <w:rStyle w:val="Appelnotedebasdep"/>
          <w:rFonts w:ascii="Arial" w:hAnsi="Arial" w:cs="Arial"/>
        </w:rPr>
        <w:footnoteReference w:id="1"/>
      </w:r>
    </w:p>
    <w:tbl>
      <w:tblPr>
        <w:tblStyle w:val="Grilledutableau"/>
        <w:tblW w:w="13565" w:type="dxa"/>
        <w:jc w:val="center"/>
        <w:tblLook w:val="04A0" w:firstRow="1" w:lastRow="0" w:firstColumn="1" w:lastColumn="0" w:noHBand="0" w:noVBand="1"/>
      </w:tblPr>
      <w:tblGrid>
        <w:gridCol w:w="5240"/>
        <w:gridCol w:w="8325"/>
      </w:tblGrid>
      <w:tr w:rsidR="003B2740" w14:paraId="70BC2EEF" w14:textId="353B75D8" w:rsidTr="00290954">
        <w:trPr>
          <w:trHeight w:val="397"/>
          <w:jc w:val="center"/>
        </w:trPr>
        <w:tc>
          <w:tcPr>
            <w:tcW w:w="13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67E354ED" w14:textId="5553BF45" w:rsidR="003B2740" w:rsidRPr="000F6115" w:rsidRDefault="003B2740" w:rsidP="007B7F42">
            <w:pPr>
              <w:jc w:val="center"/>
              <w:rPr>
                <w:rFonts w:ascii="Arial" w:hAnsi="Arial" w:cs="Arial"/>
              </w:rPr>
            </w:pPr>
            <w:r w:rsidRPr="000F6115">
              <w:rPr>
                <w:rFonts w:ascii="Arial" w:hAnsi="Arial" w:cs="Arial"/>
              </w:rPr>
              <w:t>OBJECTIF</w:t>
            </w:r>
          </w:p>
        </w:tc>
      </w:tr>
      <w:tr w:rsidR="003B2740" w14:paraId="60B31702" w14:textId="77777777" w:rsidTr="00290954">
        <w:trPr>
          <w:trHeight w:val="39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67094F23" w14:textId="242A8F8D" w:rsidR="003B2740" w:rsidRPr="004A66B0" w:rsidRDefault="00B26AFA" w:rsidP="00BC3DCC">
            <w:pPr>
              <w:jc w:val="center"/>
              <w:rPr>
                <w:rFonts w:ascii="Arial" w:hAnsi="Arial" w:cs="Arial"/>
                <w:smallCaps/>
              </w:rPr>
            </w:pPr>
            <w:r w:rsidRPr="004A66B0">
              <w:rPr>
                <w:rFonts w:ascii="Arial" w:hAnsi="Arial" w:cs="Arial"/>
                <w:smallCaps/>
              </w:rPr>
              <w:t>Caractéristiques recherchées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2DEA7F" w14:textId="007AC996" w:rsidR="003B2740" w:rsidRPr="004A66B0" w:rsidRDefault="00B26AFA" w:rsidP="00BC3DCC">
            <w:pPr>
              <w:jc w:val="center"/>
              <w:rPr>
                <w:rFonts w:ascii="Arial" w:hAnsi="Arial" w:cs="Arial"/>
                <w:smallCaps/>
              </w:rPr>
            </w:pPr>
            <w:r w:rsidRPr="004A66B0">
              <w:rPr>
                <w:rFonts w:ascii="Arial" w:hAnsi="Arial" w:cs="Arial"/>
                <w:smallCaps/>
              </w:rPr>
              <w:t>Qu’est-ce que nous visons?</w:t>
            </w:r>
          </w:p>
        </w:tc>
      </w:tr>
      <w:tr w:rsidR="003B2740" w14:paraId="045DB5C1" w14:textId="2B1CD1EF" w:rsidTr="00290954">
        <w:trPr>
          <w:trHeight w:val="1474"/>
          <w:jc w:val="center"/>
        </w:trPr>
        <w:tc>
          <w:tcPr>
            <w:tcW w:w="5240" w:type="dxa"/>
            <w:vAlign w:val="center"/>
          </w:tcPr>
          <w:p w14:paraId="23BB3BFF" w14:textId="7AAAD8EA" w:rsidR="003B2740" w:rsidRPr="000F6115" w:rsidRDefault="003B2740" w:rsidP="003B2740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F6115">
              <w:rPr>
                <w:rFonts w:ascii="Arial" w:hAnsi="Arial" w:cs="Arial"/>
              </w:rPr>
              <w:t>Exprime l’intention, l’engagement, le but</w:t>
            </w:r>
            <w:r w:rsidR="005D251E" w:rsidRPr="000F6115">
              <w:rPr>
                <w:rFonts w:ascii="Arial" w:hAnsi="Arial" w:cs="Arial"/>
              </w:rPr>
              <w:t>;</w:t>
            </w:r>
          </w:p>
          <w:p w14:paraId="5B12C5BA" w14:textId="07507D86" w:rsidR="003B2740" w:rsidRPr="000F6115" w:rsidRDefault="003B2740" w:rsidP="005674E1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F6115">
              <w:rPr>
                <w:rFonts w:ascii="Arial" w:hAnsi="Arial" w:cs="Arial"/>
              </w:rPr>
              <w:t>Vise un effet, un bénéfice</w:t>
            </w:r>
            <w:r w:rsidR="005D251E" w:rsidRPr="000F6115">
              <w:rPr>
                <w:rFonts w:ascii="Arial" w:hAnsi="Arial" w:cs="Arial"/>
              </w:rPr>
              <w:t>;</w:t>
            </w:r>
          </w:p>
          <w:p w14:paraId="0EBF35D7" w14:textId="35EC428A" w:rsidR="003B2740" w:rsidRPr="000F6115" w:rsidRDefault="003B2740" w:rsidP="005674E1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F6115">
              <w:rPr>
                <w:rFonts w:ascii="Arial" w:hAnsi="Arial" w:cs="Arial"/>
              </w:rPr>
              <w:t>Peut être très précis ou général</w:t>
            </w:r>
            <w:r w:rsidR="005D251E" w:rsidRPr="000F6115">
              <w:rPr>
                <w:rFonts w:ascii="Arial" w:hAnsi="Arial" w:cs="Arial"/>
              </w:rPr>
              <w:t>;</w:t>
            </w:r>
          </w:p>
          <w:p w14:paraId="7B0231D7" w14:textId="35F1A0D5" w:rsidR="00A2210B" w:rsidRPr="000F6115" w:rsidRDefault="005674E1" w:rsidP="00943A14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F6115">
              <w:rPr>
                <w:rFonts w:ascii="Arial" w:hAnsi="Arial" w:cs="Arial"/>
              </w:rPr>
              <w:t>Mesurable qualitativement ou quantitativement</w:t>
            </w:r>
            <w:r w:rsidR="00A2210B" w:rsidRPr="000F6115">
              <w:rPr>
                <w:rFonts w:ascii="Arial" w:hAnsi="Arial" w:cs="Arial"/>
              </w:rPr>
              <w:t>;</w:t>
            </w:r>
            <w:r w:rsidR="00AE6567" w:rsidRPr="000F6115">
              <w:rPr>
                <w:rStyle w:val="Appelnotedebasdep"/>
                <w:rFonts w:ascii="Arial" w:hAnsi="Arial" w:cs="Arial"/>
              </w:rPr>
              <w:footnoteReference w:id="2"/>
            </w:r>
          </w:p>
        </w:tc>
        <w:tc>
          <w:tcPr>
            <w:tcW w:w="8325" w:type="dxa"/>
            <w:vAlign w:val="center"/>
          </w:tcPr>
          <w:p w14:paraId="7298FAFF" w14:textId="6D8E19A5" w:rsidR="003B2740" w:rsidRPr="000F6115" w:rsidRDefault="003B2740" w:rsidP="00A221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B2740" w14:paraId="534EFE8F" w14:textId="4461C1E7" w:rsidTr="00290954">
        <w:trPr>
          <w:trHeight w:val="397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EB14B49" w14:textId="50A0AA68" w:rsidR="003B2740" w:rsidRPr="004A66B0" w:rsidRDefault="00053846" w:rsidP="00053846">
            <w:pPr>
              <w:jc w:val="center"/>
              <w:rPr>
                <w:rFonts w:ascii="Arial" w:hAnsi="Arial" w:cs="Arial"/>
                <w:smallCaps/>
              </w:rPr>
            </w:pPr>
            <w:r w:rsidRPr="004A66B0">
              <w:rPr>
                <w:rFonts w:ascii="Arial" w:hAnsi="Arial" w:cs="Arial"/>
                <w:smallCaps/>
              </w:rPr>
              <w:t>Formulation recherchée</w:t>
            </w:r>
          </w:p>
        </w:tc>
        <w:tc>
          <w:tcPr>
            <w:tcW w:w="8325" w:type="dxa"/>
            <w:shd w:val="clear" w:color="auto" w:fill="D9D9D9" w:themeFill="background1" w:themeFillShade="D9"/>
            <w:vAlign w:val="center"/>
          </w:tcPr>
          <w:p w14:paraId="1D25A1E8" w14:textId="051D95D5" w:rsidR="003B2740" w:rsidRPr="004A66B0" w:rsidRDefault="00290954" w:rsidP="00130D43">
            <w:pPr>
              <w:jc w:val="center"/>
              <w:rPr>
                <w:rFonts w:ascii="Arial" w:hAnsi="Arial" w:cs="Arial"/>
                <w:smallCaps/>
              </w:rPr>
            </w:pPr>
            <w:r w:rsidRPr="004A66B0">
              <w:rPr>
                <w:rFonts w:ascii="Arial" w:hAnsi="Arial" w:cs="Arial"/>
                <w:smallCaps/>
              </w:rPr>
              <w:t>Exemple d’objectif</w:t>
            </w:r>
          </w:p>
        </w:tc>
      </w:tr>
      <w:tr w:rsidR="003B2740" w14:paraId="721002EB" w14:textId="77777777" w:rsidTr="00C334B7">
        <w:trPr>
          <w:trHeight w:val="2115"/>
          <w:jc w:val="center"/>
        </w:trPr>
        <w:tc>
          <w:tcPr>
            <w:tcW w:w="5240" w:type="dxa"/>
            <w:vAlign w:val="center"/>
          </w:tcPr>
          <w:p w14:paraId="56F52406" w14:textId="2EBB114D" w:rsidR="003B2740" w:rsidRPr="000F6115" w:rsidRDefault="001A5779" w:rsidP="00053846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0F6115">
              <w:rPr>
                <w:rFonts w:ascii="Arial" w:hAnsi="Arial" w:cs="Arial"/>
              </w:rPr>
              <w:t>Introduit</w:t>
            </w:r>
            <w:r w:rsidR="00053846" w:rsidRPr="000F6115">
              <w:rPr>
                <w:rFonts w:ascii="Arial" w:hAnsi="Arial" w:cs="Arial"/>
              </w:rPr>
              <w:t xml:space="preserve"> par un verbe d’action</w:t>
            </w:r>
          </w:p>
          <w:p w14:paraId="177CD6C9" w14:textId="77777777" w:rsidR="00053846" w:rsidRPr="000F6115" w:rsidRDefault="00053846" w:rsidP="00053846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0F6115">
              <w:rPr>
                <w:rFonts w:ascii="Arial" w:hAnsi="Arial" w:cs="Arial"/>
              </w:rPr>
              <w:t>Exprime une finalité</w:t>
            </w:r>
          </w:p>
          <w:p w14:paraId="34304B31" w14:textId="77777777" w:rsidR="00053846" w:rsidRPr="000F6115" w:rsidRDefault="00053846" w:rsidP="00053846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0F6115">
              <w:rPr>
                <w:rFonts w:ascii="Arial" w:hAnsi="Arial" w:cs="Arial"/>
              </w:rPr>
              <w:t>Contient :</w:t>
            </w:r>
          </w:p>
          <w:p w14:paraId="095C85D4" w14:textId="2D133EDC" w:rsidR="00053846" w:rsidRPr="000F6115" w:rsidRDefault="00053846" w:rsidP="00053846">
            <w:pPr>
              <w:pStyle w:val="Paragraphedeliste"/>
              <w:numPr>
                <w:ilvl w:val="1"/>
                <w:numId w:val="9"/>
              </w:numPr>
              <w:jc w:val="both"/>
              <w:rPr>
                <w:rFonts w:ascii="Arial" w:hAnsi="Arial" w:cs="Arial"/>
              </w:rPr>
            </w:pPr>
            <w:r w:rsidRPr="000F6115">
              <w:rPr>
                <w:rFonts w:ascii="Arial" w:hAnsi="Arial" w:cs="Arial"/>
              </w:rPr>
              <w:t>Le changement précis souhaité;</w:t>
            </w:r>
          </w:p>
          <w:p w14:paraId="00C8BE61" w14:textId="0AA668E8" w:rsidR="00053846" w:rsidRPr="000F6115" w:rsidRDefault="00053846" w:rsidP="00053846">
            <w:pPr>
              <w:pStyle w:val="Paragraphedeliste"/>
              <w:numPr>
                <w:ilvl w:val="1"/>
                <w:numId w:val="9"/>
              </w:numPr>
              <w:jc w:val="both"/>
              <w:rPr>
                <w:rFonts w:ascii="Arial" w:hAnsi="Arial" w:cs="Arial"/>
              </w:rPr>
            </w:pPr>
            <w:r w:rsidRPr="000F6115">
              <w:rPr>
                <w:rFonts w:ascii="Arial" w:hAnsi="Arial" w:cs="Arial"/>
              </w:rPr>
              <w:t>La date ou la période à laquelle le changement est censé se produire;</w:t>
            </w:r>
          </w:p>
          <w:p w14:paraId="61BBF187" w14:textId="7B4113ED" w:rsidR="00053846" w:rsidRPr="000F6115" w:rsidRDefault="00053846" w:rsidP="00053846">
            <w:pPr>
              <w:pStyle w:val="Paragraphedeliste"/>
              <w:numPr>
                <w:ilvl w:val="1"/>
                <w:numId w:val="9"/>
              </w:numPr>
              <w:jc w:val="both"/>
              <w:rPr>
                <w:rFonts w:ascii="Arial" w:hAnsi="Arial" w:cs="Arial"/>
              </w:rPr>
            </w:pPr>
            <w:r w:rsidRPr="000F6115">
              <w:rPr>
                <w:rFonts w:ascii="Arial" w:hAnsi="Arial" w:cs="Arial"/>
              </w:rPr>
              <w:t>La mesure du changement;</w:t>
            </w:r>
          </w:p>
          <w:p w14:paraId="4D54277A" w14:textId="2952E057" w:rsidR="00053846" w:rsidRPr="000F6115" w:rsidRDefault="00053846" w:rsidP="00053846">
            <w:pPr>
              <w:pStyle w:val="Paragraphedeliste"/>
              <w:numPr>
                <w:ilvl w:val="1"/>
                <w:numId w:val="9"/>
              </w:numPr>
              <w:jc w:val="both"/>
              <w:rPr>
                <w:rFonts w:ascii="Arial" w:hAnsi="Arial" w:cs="Arial"/>
              </w:rPr>
            </w:pPr>
            <w:r w:rsidRPr="000F6115">
              <w:rPr>
                <w:rFonts w:ascii="Arial" w:hAnsi="Arial" w:cs="Arial"/>
              </w:rPr>
              <w:t>La clientèle visée.</w:t>
            </w:r>
            <w:r w:rsidR="00AE6567" w:rsidRPr="000F6115">
              <w:rPr>
                <w:rStyle w:val="Appelnotedebasdep"/>
                <w:rFonts w:ascii="Arial" w:hAnsi="Arial" w:cs="Arial"/>
              </w:rPr>
              <w:footnoteReference w:id="3"/>
            </w:r>
          </w:p>
        </w:tc>
        <w:tc>
          <w:tcPr>
            <w:tcW w:w="8325" w:type="dxa"/>
            <w:vAlign w:val="center"/>
          </w:tcPr>
          <w:p w14:paraId="307B6331" w14:textId="61D81DF8" w:rsidR="003B2740" w:rsidRPr="000F6115" w:rsidRDefault="00D93539" w:rsidP="004B457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D’ici la fin de l’année scolaire 2018-2019, r</w:t>
            </w:r>
            <w:r w:rsidR="004B457D">
              <w:rPr>
                <w:rFonts w:ascii="Arial" w:hAnsi="Arial" w:cs="Arial"/>
                <w:i/>
              </w:rPr>
              <w:t>éduire de moitié l</w:t>
            </w:r>
            <w:r w:rsidR="00552E80">
              <w:rPr>
                <w:rFonts w:ascii="Arial" w:hAnsi="Arial" w:cs="Arial"/>
                <w:i/>
              </w:rPr>
              <w:t xml:space="preserve">es </w:t>
            </w:r>
            <w:r w:rsidR="00290954" w:rsidRPr="000F6115">
              <w:rPr>
                <w:rFonts w:ascii="Arial" w:hAnsi="Arial" w:cs="Arial"/>
                <w:i/>
              </w:rPr>
              <w:t>écart</w:t>
            </w:r>
            <w:r w:rsidR="00552E80">
              <w:rPr>
                <w:rFonts w:ascii="Arial" w:hAnsi="Arial" w:cs="Arial"/>
                <w:i/>
              </w:rPr>
              <w:t>s</w:t>
            </w:r>
            <w:r w:rsidR="00290954" w:rsidRPr="000F6115">
              <w:rPr>
                <w:rFonts w:ascii="Arial" w:hAnsi="Arial" w:cs="Arial"/>
                <w:i/>
              </w:rPr>
              <w:t xml:space="preserve"> de réussite entre </w:t>
            </w:r>
            <w:r>
              <w:rPr>
                <w:rFonts w:ascii="Arial" w:hAnsi="Arial" w:cs="Arial"/>
                <w:i/>
              </w:rPr>
              <w:t>les garçons et les filles</w:t>
            </w:r>
            <w:r w:rsidR="0086107C">
              <w:rPr>
                <w:rFonts w:ascii="Arial" w:hAnsi="Arial" w:cs="Arial"/>
                <w:i/>
              </w:rPr>
              <w:t xml:space="preserve"> en français au primaire</w:t>
            </w:r>
            <w:r>
              <w:rPr>
                <w:rFonts w:ascii="Arial" w:hAnsi="Arial" w:cs="Arial"/>
                <w:i/>
              </w:rPr>
              <w:t>.</w:t>
            </w:r>
          </w:p>
        </w:tc>
      </w:tr>
      <w:tr w:rsidR="00F40869" w14:paraId="54377865" w14:textId="77777777" w:rsidTr="00290954">
        <w:trPr>
          <w:trHeight w:val="397"/>
          <w:jc w:val="center"/>
        </w:trPr>
        <w:tc>
          <w:tcPr>
            <w:tcW w:w="13565" w:type="dxa"/>
            <w:gridSpan w:val="2"/>
            <w:shd w:val="clear" w:color="auto" w:fill="D9D9D9" w:themeFill="background1" w:themeFillShade="D9"/>
            <w:vAlign w:val="center"/>
          </w:tcPr>
          <w:p w14:paraId="585BC8E9" w14:textId="4B780583" w:rsidR="00F40869" w:rsidRPr="004A66B0" w:rsidRDefault="00F40869" w:rsidP="00F40869">
            <w:pPr>
              <w:jc w:val="center"/>
              <w:rPr>
                <w:rFonts w:ascii="Arial" w:hAnsi="Arial" w:cs="Arial"/>
                <w:smallCaps/>
              </w:rPr>
            </w:pPr>
            <w:r w:rsidRPr="004A66B0">
              <w:rPr>
                <w:rFonts w:ascii="Arial" w:hAnsi="Arial" w:cs="Arial"/>
                <w:smallCaps/>
              </w:rPr>
              <w:t>Formulation l’objectif #1</w:t>
            </w:r>
          </w:p>
        </w:tc>
      </w:tr>
      <w:tr w:rsidR="00F40869" w14:paraId="382201ED" w14:textId="77777777" w:rsidTr="00C334B7">
        <w:trPr>
          <w:trHeight w:val="1814"/>
          <w:jc w:val="center"/>
        </w:trPr>
        <w:tc>
          <w:tcPr>
            <w:tcW w:w="13565" w:type="dxa"/>
            <w:gridSpan w:val="2"/>
            <w:vAlign w:val="center"/>
          </w:tcPr>
          <w:p w14:paraId="399F879A" w14:textId="77777777" w:rsidR="00F40869" w:rsidRPr="00482A3E" w:rsidRDefault="00F40869" w:rsidP="00EF16DD">
            <w:pPr>
              <w:jc w:val="both"/>
              <w:rPr>
                <w:rFonts w:ascii="Arial" w:hAnsi="Arial" w:cs="Arial"/>
              </w:rPr>
            </w:pPr>
          </w:p>
        </w:tc>
      </w:tr>
      <w:tr w:rsidR="00011E1B" w14:paraId="02582BAA" w14:textId="77777777" w:rsidTr="00A14C1D">
        <w:trPr>
          <w:trHeight w:val="567"/>
          <w:jc w:val="center"/>
        </w:trPr>
        <w:tc>
          <w:tcPr>
            <w:tcW w:w="13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A7FC292" w14:textId="07A6329D" w:rsidR="00011E1B" w:rsidRPr="00943A14" w:rsidRDefault="00955FF6" w:rsidP="00011E1B">
            <w:pPr>
              <w:jc w:val="center"/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lastRenderedPageBreak/>
              <w:t>INDICATEURS</w:t>
            </w:r>
          </w:p>
        </w:tc>
      </w:tr>
      <w:tr w:rsidR="00BC0E9D" w14:paraId="56FE9A0C" w14:textId="77777777" w:rsidTr="005F38AA">
        <w:trPr>
          <w:trHeight w:val="39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0B8FDD52" w14:textId="4C8308FE" w:rsidR="00BC0E9D" w:rsidRPr="004A66B0" w:rsidRDefault="00BC0E9D" w:rsidP="00BC0E9D">
            <w:pPr>
              <w:jc w:val="center"/>
              <w:rPr>
                <w:rFonts w:ascii="Arial" w:hAnsi="Arial" w:cs="Arial"/>
                <w:smallCaps/>
              </w:rPr>
            </w:pPr>
            <w:r w:rsidRPr="004A66B0">
              <w:rPr>
                <w:rFonts w:ascii="Arial" w:hAnsi="Arial" w:cs="Arial"/>
                <w:smallCaps/>
              </w:rPr>
              <w:t>Définition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A4DFD" w14:textId="75269A57" w:rsidR="00BC0E9D" w:rsidRPr="004A66B0" w:rsidRDefault="00BC0E9D" w:rsidP="00BC0E9D">
            <w:pPr>
              <w:jc w:val="center"/>
              <w:rPr>
                <w:rFonts w:ascii="Arial" w:hAnsi="Arial" w:cs="Arial"/>
                <w:smallCaps/>
              </w:rPr>
            </w:pPr>
            <w:r w:rsidRPr="004A66B0">
              <w:rPr>
                <w:rFonts w:ascii="Arial" w:hAnsi="Arial" w:cs="Arial"/>
                <w:smallCaps/>
              </w:rPr>
              <w:t>Caractéristiques recherchées</w:t>
            </w:r>
          </w:p>
        </w:tc>
      </w:tr>
      <w:tr w:rsidR="00BC0E9D" w14:paraId="24711F27" w14:textId="77777777" w:rsidTr="00A14C1D">
        <w:trPr>
          <w:trHeight w:val="1984"/>
          <w:jc w:val="center"/>
        </w:trPr>
        <w:tc>
          <w:tcPr>
            <w:tcW w:w="5240" w:type="dxa"/>
            <w:vAlign w:val="center"/>
          </w:tcPr>
          <w:p w14:paraId="57CA6C26" w14:textId="35E9F68C" w:rsidR="00E0794A" w:rsidRPr="00943A14" w:rsidRDefault="00BC0E9D" w:rsidP="00BC0E9D">
            <w:pPr>
              <w:jc w:val="both"/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Toute mesure significative, relative ou non, utilisée pour apprécier les résultats obtenus, l’utilisation des ressources, l’état d’avancement des travaux ou le contexte externe.</w:t>
            </w:r>
            <w:r w:rsidRPr="00943A14">
              <w:rPr>
                <w:rStyle w:val="Appelnotedebasdep"/>
                <w:rFonts w:ascii="Arial" w:hAnsi="Arial" w:cs="Arial"/>
              </w:rPr>
              <w:footnoteReference w:id="4"/>
            </w:r>
          </w:p>
        </w:tc>
        <w:tc>
          <w:tcPr>
            <w:tcW w:w="8325" w:type="dxa"/>
            <w:vAlign w:val="center"/>
          </w:tcPr>
          <w:p w14:paraId="64FC03D3" w14:textId="77777777" w:rsidR="00BC0E9D" w:rsidRPr="00943A14" w:rsidRDefault="00BC0E9D" w:rsidP="00BC0E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Pertinence : utile, correspond à une préoccupation;</w:t>
            </w:r>
          </w:p>
          <w:p w14:paraId="332B982F" w14:textId="77777777" w:rsidR="00BC0E9D" w:rsidRPr="00943A14" w:rsidRDefault="00BC0E9D" w:rsidP="00BC0E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Validité : mesure réellement ce qu’il doit mesurer;</w:t>
            </w:r>
          </w:p>
          <w:p w14:paraId="2A7A1772" w14:textId="77777777" w:rsidR="00BC0E9D" w:rsidRPr="00943A14" w:rsidRDefault="00BC0E9D" w:rsidP="00BC0E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Faisabilité : relativement facile à obtenir et à produire;</w:t>
            </w:r>
          </w:p>
          <w:p w14:paraId="28E2381F" w14:textId="77777777" w:rsidR="00BC0E9D" w:rsidRPr="00943A14" w:rsidRDefault="00BC0E9D" w:rsidP="00BC0E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Convivialité : simple, clair, interprétation commune;</w:t>
            </w:r>
          </w:p>
          <w:p w14:paraId="4EE856C8" w14:textId="77777777" w:rsidR="00BC0E9D" w:rsidRPr="00943A14" w:rsidRDefault="00BC0E9D" w:rsidP="00BC0E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Fiabilité : résultats constants chaque fois qu’une mesure est prise dans des conditions identiques;</w:t>
            </w:r>
          </w:p>
          <w:p w14:paraId="0BA3C2B4" w14:textId="42562420" w:rsidR="00BC0E9D" w:rsidRPr="00943A14" w:rsidRDefault="00BC0E9D" w:rsidP="00BC0E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Comparabilité : standardisé, reconnu officiellement (lorsque possible).</w:t>
            </w:r>
            <w:r w:rsidRPr="00943A14">
              <w:rPr>
                <w:rStyle w:val="Appelnotedebasdep"/>
                <w:rFonts w:ascii="Arial" w:hAnsi="Arial" w:cs="Arial"/>
              </w:rPr>
              <w:footnoteReference w:id="5"/>
            </w:r>
          </w:p>
        </w:tc>
      </w:tr>
      <w:tr w:rsidR="00BC0E9D" w14:paraId="23DDAF97" w14:textId="77777777" w:rsidTr="005F38AA">
        <w:trPr>
          <w:trHeight w:val="397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4DA91BB" w14:textId="72621CF4" w:rsidR="00BC0E9D" w:rsidRPr="00497C76" w:rsidRDefault="00BC0E9D" w:rsidP="00BC0E9D">
            <w:pPr>
              <w:jc w:val="center"/>
              <w:rPr>
                <w:rFonts w:ascii="Arial" w:hAnsi="Arial" w:cs="Arial"/>
                <w:smallCaps/>
              </w:rPr>
            </w:pPr>
            <w:r w:rsidRPr="00497C76">
              <w:rPr>
                <w:rFonts w:ascii="Arial" w:hAnsi="Arial" w:cs="Arial"/>
                <w:smallCaps/>
              </w:rPr>
              <w:t>Formulation recherchée</w:t>
            </w:r>
          </w:p>
        </w:tc>
        <w:tc>
          <w:tcPr>
            <w:tcW w:w="8325" w:type="dxa"/>
            <w:shd w:val="clear" w:color="auto" w:fill="D9D9D9" w:themeFill="background1" w:themeFillShade="D9"/>
            <w:vAlign w:val="center"/>
          </w:tcPr>
          <w:p w14:paraId="1015800A" w14:textId="396F8FE7" w:rsidR="00BC0E9D" w:rsidRPr="00497C76" w:rsidRDefault="00F6641E" w:rsidP="00BC0E9D">
            <w:pPr>
              <w:jc w:val="center"/>
              <w:rPr>
                <w:rFonts w:ascii="Arial" w:hAnsi="Arial" w:cs="Arial"/>
                <w:smallCaps/>
              </w:rPr>
            </w:pPr>
            <w:r w:rsidRPr="00497C76">
              <w:rPr>
                <w:rFonts w:ascii="Arial" w:hAnsi="Arial" w:cs="Arial"/>
                <w:smallCaps/>
              </w:rPr>
              <w:t>Exemple d’indicateur</w:t>
            </w:r>
          </w:p>
        </w:tc>
      </w:tr>
      <w:tr w:rsidR="00BC0E9D" w14:paraId="1280E19F" w14:textId="77777777" w:rsidTr="00F6641E">
        <w:trPr>
          <w:trHeight w:val="1814"/>
          <w:jc w:val="center"/>
        </w:trPr>
        <w:tc>
          <w:tcPr>
            <w:tcW w:w="5240" w:type="dxa"/>
            <w:vAlign w:val="center"/>
          </w:tcPr>
          <w:p w14:paraId="16868737" w14:textId="77777777" w:rsidR="00BC0E9D" w:rsidRPr="00943A14" w:rsidRDefault="00BC0E9D" w:rsidP="00BC0E9D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Précis;</w:t>
            </w:r>
          </w:p>
          <w:p w14:paraId="41FDF749" w14:textId="77777777" w:rsidR="00BC0E9D" w:rsidRPr="00943A14" w:rsidRDefault="00BC0E9D" w:rsidP="00BC0E9D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Décrit le type de mesure;</w:t>
            </w:r>
          </w:p>
          <w:p w14:paraId="47048F19" w14:textId="77777777" w:rsidR="00BC0E9D" w:rsidRPr="00943A14" w:rsidRDefault="00BC0E9D" w:rsidP="00BC0E9D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Ne mesure qu’un seul aspect;</w:t>
            </w:r>
          </w:p>
          <w:p w14:paraId="0B53A933" w14:textId="77777777" w:rsidR="00BC0E9D" w:rsidRPr="00943A14" w:rsidRDefault="00BC0E9D" w:rsidP="00BC0E9D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Chiffré ou non;</w:t>
            </w:r>
          </w:p>
          <w:p w14:paraId="0AA5F0ED" w14:textId="34B68F64" w:rsidR="00BC0E9D" w:rsidRPr="00943A14" w:rsidRDefault="00BC0E9D" w:rsidP="00BC0E9D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Décrit les différents éléments considérés dans le calcul ou le suivi.</w:t>
            </w:r>
            <w:r w:rsidRPr="00943A14">
              <w:rPr>
                <w:rStyle w:val="Appelnotedebasdep"/>
                <w:rFonts w:ascii="Arial" w:hAnsi="Arial" w:cs="Arial"/>
              </w:rPr>
              <w:footnoteReference w:id="6"/>
            </w:r>
          </w:p>
        </w:tc>
        <w:tc>
          <w:tcPr>
            <w:tcW w:w="8325" w:type="dxa"/>
            <w:vAlign w:val="center"/>
          </w:tcPr>
          <w:p w14:paraId="1B186900" w14:textId="181AAFB1" w:rsidR="00BC0E9D" w:rsidRPr="00F6641E" w:rsidRDefault="0086107C" w:rsidP="00FA569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Taux de réussite aux épreuves ministérielles au 3</w:t>
            </w:r>
            <w:r w:rsidRPr="0086107C">
              <w:rPr>
                <w:rFonts w:ascii="Arial" w:hAnsi="Arial" w:cs="Arial"/>
                <w:i/>
                <w:vertAlign w:val="superscript"/>
              </w:rPr>
              <w:t>e</w:t>
            </w:r>
            <w:r>
              <w:rPr>
                <w:rFonts w:ascii="Arial" w:hAnsi="Arial" w:cs="Arial"/>
                <w:i/>
              </w:rPr>
              <w:t xml:space="preserve"> cycle en français, selon le sexe</w:t>
            </w:r>
          </w:p>
        </w:tc>
      </w:tr>
      <w:tr w:rsidR="000F6115" w14:paraId="5A00ECBD" w14:textId="77777777" w:rsidTr="005F38AA">
        <w:trPr>
          <w:trHeight w:val="397"/>
          <w:jc w:val="center"/>
        </w:trPr>
        <w:tc>
          <w:tcPr>
            <w:tcW w:w="13565" w:type="dxa"/>
            <w:gridSpan w:val="2"/>
            <w:shd w:val="clear" w:color="auto" w:fill="D9D9D9" w:themeFill="background1" w:themeFillShade="D9"/>
            <w:vAlign w:val="center"/>
          </w:tcPr>
          <w:p w14:paraId="13C3CFA0" w14:textId="5789A46C" w:rsidR="000F6115" w:rsidRPr="00497C76" w:rsidRDefault="00D93539" w:rsidP="000F6115">
            <w:pPr>
              <w:jc w:val="center"/>
              <w:rPr>
                <w:rFonts w:ascii="Arial" w:hAnsi="Arial" w:cs="Arial"/>
                <w:smallCaps/>
              </w:rPr>
            </w:pPr>
            <w:r w:rsidRPr="00497C76">
              <w:rPr>
                <w:rFonts w:ascii="Arial" w:hAnsi="Arial" w:cs="Arial"/>
                <w:smallCaps/>
              </w:rPr>
              <w:t xml:space="preserve">Choix </w:t>
            </w:r>
            <w:r w:rsidR="000F6115" w:rsidRPr="00497C76">
              <w:rPr>
                <w:rFonts w:ascii="Arial" w:hAnsi="Arial" w:cs="Arial"/>
                <w:smallCaps/>
              </w:rPr>
              <w:t>de l’indicateur #1</w:t>
            </w:r>
          </w:p>
        </w:tc>
      </w:tr>
      <w:tr w:rsidR="000F6115" w14:paraId="56C5BC4F" w14:textId="77777777" w:rsidTr="00C334B7">
        <w:trPr>
          <w:trHeight w:val="2324"/>
          <w:jc w:val="center"/>
        </w:trPr>
        <w:tc>
          <w:tcPr>
            <w:tcW w:w="13565" w:type="dxa"/>
            <w:gridSpan w:val="2"/>
            <w:vAlign w:val="center"/>
          </w:tcPr>
          <w:p w14:paraId="7774CC12" w14:textId="77777777" w:rsidR="000F6115" w:rsidRPr="00943A14" w:rsidRDefault="000F6115" w:rsidP="00BC0E9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E5FC9B" w14:textId="3EB341E3" w:rsidR="00CB6A3E" w:rsidRDefault="00CB6A3E">
      <w:pPr>
        <w:rPr>
          <w:rFonts w:ascii="Arial" w:hAnsi="Arial" w:cs="Arial"/>
          <w:sz w:val="20"/>
          <w:szCs w:val="20"/>
        </w:rPr>
      </w:pPr>
    </w:p>
    <w:p w14:paraId="56F2EE28" w14:textId="77777777" w:rsidR="009634A7" w:rsidRDefault="009634A7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3565" w:type="dxa"/>
        <w:jc w:val="center"/>
        <w:tblLook w:val="04A0" w:firstRow="1" w:lastRow="0" w:firstColumn="1" w:lastColumn="0" w:noHBand="0" w:noVBand="1"/>
      </w:tblPr>
      <w:tblGrid>
        <w:gridCol w:w="6782"/>
        <w:gridCol w:w="6783"/>
      </w:tblGrid>
      <w:tr w:rsidR="00C96EA3" w14:paraId="22CDECBF" w14:textId="77777777" w:rsidTr="00463D42">
        <w:trPr>
          <w:trHeight w:val="567"/>
          <w:jc w:val="center"/>
        </w:trPr>
        <w:tc>
          <w:tcPr>
            <w:tcW w:w="13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C625118" w14:textId="3A2E3EA9" w:rsidR="00C96EA3" w:rsidRPr="00943A14" w:rsidRDefault="00C96EA3" w:rsidP="00D2228C">
            <w:pPr>
              <w:jc w:val="center"/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CIBLE</w:t>
            </w:r>
          </w:p>
        </w:tc>
      </w:tr>
      <w:tr w:rsidR="00BC0E9D" w14:paraId="162E7515" w14:textId="77777777" w:rsidTr="00C334B7">
        <w:trPr>
          <w:trHeight w:val="397"/>
          <w:jc w:val="center"/>
        </w:trPr>
        <w:tc>
          <w:tcPr>
            <w:tcW w:w="6782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51002BDC" w14:textId="77777777" w:rsidR="00BC0E9D" w:rsidRPr="00497C76" w:rsidRDefault="00BC0E9D" w:rsidP="00BC0E9D">
            <w:pPr>
              <w:jc w:val="center"/>
              <w:rPr>
                <w:rFonts w:ascii="Arial" w:hAnsi="Arial" w:cs="Arial"/>
                <w:smallCaps/>
              </w:rPr>
            </w:pPr>
            <w:r w:rsidRPr="00497C76">
              <w:rPr>
                <w:rFonts w:ascii="Arial" w:hAnsi="Arial" w:cs="Arial"/>
                <w:smallCaps/>
              </w:rPr>
              <w:t>Caractéristiques recherchées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9F73E9" w14:textId="4344FC97" w:rsidR="00BC0E9D" w:rsidRPr="00497C76" w:rsidRDefault="00BC0E9D" w:rsidP="00BC0E9D">
            <w:pPr>
              <w:jc w:val="center"/>
              <w:rPr>
                <w:rFonts w:ascii="Arial" w:hAnsi="Arial" w:cs="Arial"/>
                <w:smallCaps/>
              </w:rPr>
            </w:pPr>
            <w:r w:rsidRPr="00497C76">
              <w:rPr>
                <w:rFonts w:ascii="Arial" w:hAnsi="Arial" w:cs="Arial"/>
                <w:smallCaps/>
              </w:rPr>
              <w:t>Sortes de cibles</w:t>
            </w:r>
          </w:p>
        </w:tc>
      </w:tr>
      <w:tr w:rsidR="00BC0E9D" w14:paraId="2DE2F92C" w14:textId="77777777" w:rsidTr="00C334B7">
        <w:trPr>
          <w:trHeight w:val="2098"/>
          <w:jc w:val="center"/>
        </w:trPr>
        <w:tc>
          <w:tcPr>
            <w:tcW w:w="6782" w:type="dxa"/>
            <w:vAlign w:val="center"/>
          </w:tcPr>
          <w:p w14:paraId="4AC72B2A" w14:textId="7D6EE802" w:rsidR="00BC0E9D" w:rsidRPr="00943A14" w:rsidRDefault="00BC0E9D" w:rsidP="00BC0E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Exprime le niveau du résultat attendu par rapport à une unité de mesure de référence;</w:t>
            </w:r>
          </w:p>
          <w:p w14:paraId="6A0C859E" w14:textId="77777777" w:rsidR="00BC0E9D" w:rsidRPr="00943A14" w:rsidRDefault="00BC0E9D" w:rsidP="00BC0E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Permet d’illustrer le résultat obtenu à intervalles réguliers;</w:t>
            </w:r>
          </w:p>
          <w:p w14:paraId="0617879B" w14:textId="006DD915" w:rsidR="00BC0E9D" w:rsidRPr="00943A14" w:rsidRDefault="00BC0E9D" w:rsidP="00BC0E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La comparaison entre le résultat obtenu et le résultat attendu sert à apprécier le degré d’atteinte de la cible au cours d’une période données.</w:t>
            </w:r>
            <w:r w:rsidRPr="00943A14">
              <w:rPr>
                <w:rStyle w:val="Appelnotedebasdep"/>
                <w:rFonts w:ascii="Arial" w:hAnsi="Arial" w:cs="Arial"/>
              </w:rPr>
              <w:footnoteReference w:id="7"/>
            </w:r>
          </w:p>
        </w:tc>
        <w:tc>
          <w:tcPr>
            <w:tcW w:w="6783" w:type="dxa"/>
            <w:vAlign w:val="center"/>
          </w:tcPr>
          <w:p w14:paraId="43D56D19" w14:textId="77777777" w:rsidR="00856939" w:rsidRPr="00943A14" w:rsidRDefault="00BC0E9D" w:rsidP="0085693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Indicateur chiffré (pourcentage, nombre, ratio);</w:t>
            </w:r>
          </w:p>
          <w:p w14:paraId="4FBA01C6" w14:textId="6DC725C8" w:rsidR="00BC0E9D" w:rsidRPr="00943A14" w:rsidRDefault="00BC0E9D" w:rsidP="0085693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43A14">
              <w:rPr>
                <w:rFonts w:ascii="Arial" w:hAnsi="Arial" w:cs="Arial"/>
              </w:rPr>
              <w:t>Indicateur non chiffré (bien livrable, délai, échéance).</w:t>
            </w:r>
            <w:r w:rsidRPr="00943A14">
              <w:rPr>
                <w:rStyle w:val="Appelnotedebasdep"/>
                <w:rFonts w:ascii="Arial" w:hAnsi="Arial" w:cs="Arial"/>
              </w:rPr>
              <w:footnoteReference w:id="8"/>
            </w:r>
          </w:p>
        </w:tc>
      </w:tr>
      <w:tr w:rsidR="00D7669E" w14:paraId="7B463E12" w14:textId="77777777" w:rsidTr="00C334B7">
        <w:trPr>
          <w:trHeight w:val="397"/>
          <w:jc w:val="center"/>
        </w:trPr>
        <w:tc>
          <w:tcPr>
            <w:tcW w:w="6782" w:type="dxa"/>
            <w:shd w:val="clear" w:color="auto" w:fill="D9D9D9" w:themeFill="background1" w:themeFillShade="D9"/>
            <w:vAlign w:val="center"/>
          </w:tcPr>
          <w:p w14:paraId="3925D2D3" w14:textId="1E911043" w:rsidR="00D7669E" w:rsidRPr="00497C76" w:rsidRDefault="00D7669E" w:rsidP="00BC0E9D">
            <w:pPr>
              <w:jc w:val="center"/>
              <w:rPr>
                <w:rFonts w:ascii="Arial" w:hAnsi="Arial" w:cs="Arial"/>
                <w:smallCaps/>
              </w:rPr>
            </w:pPr>
            <w:r w:rsidRPr="00497C76">
              <w:rPr>
                <w:rFonts w:ascii="Arial" w:hAnsi="Arial" w:cs="Arial"/>
                <w:smallCaps/>
              </w:rPr>
              <w:t>Exemple de cible</w:t>
            </w:r>
          </w:p>
        </w:tc>
        <w:tc>
          <w:tcPr>
            <w:tcW w:w="6783" w:type="dxa"/>
            <w:shd w:val="clear" w:color="auto" w:fill="D9D9D9" w:themeFill="background1" w:themeFillShade="D9"/>
            <w:vAlign w:val="center"/>
          </w:tcPr>
          <w:p w14:paraId="349CB7DC" w14:textId="1913903C" w:rsidR="00D7669E" w:rsidRPr="00497C76" w:rsidRDefault="00D7669E" w:rsidP="00BC0E9D">
            <w:pPr>
              <w:jc w:val="center"/>
              <w:rPr>
                <w:rFonts w:ascii="Arial" w:hAnsi="Arial" w:cs="Arial"/>
                <w:smallCaps/>
              </w:rPr>
            </w:pPr>
            <w:r w:rsidRPr="00497C76">
              <w:rPr>
                <w:rFonts w:ascii="Arial" w:hAnsi="Arial" w:cs="Arial"/>
                <w:smallCaps/>
              </w:rPr>
              <w:t>Détermination de la cible #1</w:t>
            </w:r>
          </w:p>
        </w:tc>
      </w:tr>
      <w:tr w:rsidR="00D7669E" w14:paraId="087D648F" w14:textId="77777777" w:rsidTr="00C334B7">
        <w:trPr>
          <w:trHeight w:val="2098"/>
          <w:jc w:val="center"/>
        </w:trPr>
        <w:tc>
          <w:tcPr>
            <w:tcW w:w="6782" w:type="dxa"/>
            <w:vAlign w:val="center"/>
          </w:tcPr>
          <w:p w14:paraId="1A329196" w14:textId="75A1C4A4" w:rsidR="00D7669E" w:rsidRPr="007E50C5" w:rsidRDefault="00D7669E" w:rsidP="00D7669E">
            <w:pPr>
              <w:jc w:val="center"/>
              <w:rPr>
                <w:rFonts w:ascii="Arial" w:hAnsi="Arial" w:cs="Arial"/>
                <w:i/>
              </w:rPr>
            </w:pPr>
            <w:r w:rsidRPr="007E50C5">
              <w:rPr>
                <w:rFonts w:ascii="Arial" w:hAnsi="Arial" w:cs="Arial"/>
                <w:i/>
              </w:rPr>
              <w:t>Écart de 6 points pour l’ensemble des écoles primaires</w:t>
            </w:r>
          </w:p>
        </w:tc>
        <w:tc>
          <w:tcPr>
            <w:tcW w:w="6783" w:type="dxa"/>
            <w:vAlign w:val="center"/>
          </w:tcPr>
          <w:p w14:paraId="61DA22FE" w14:textId="26B57412" w:rsidR="00D7669E" w:rsidRPr="000536B1" w:rsidRDefault="00D7669E" w:rsidP="00BC0E9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907842" w14:textId="77777777" w:rsidR="00C96EA3" w:rsidRDefault="00C96EA3" w:rsidP="009634A7">
      <w:pPr>
        <w:rPr>
          <w:rFonts w:ascii="Arial" w:hAnsi="Arial" w:cs="Arial"/>
          <w:sz w:val="20"/>
          <w:szCs w:val="20"/>
        </w:rPr>
      </w:pPr>
    </w:p>
    <w:sectPr w:rsidR="00C96EA3" w:rsidSect="00125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2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99D94" w14:textId="77777777" w:rsidR="006D5AAD" w:rsidRDefault="006D5AAD" w:rsidP="004F3418">
      <w:pPr>
        <w:spacing w:after="0" w:line="240" w:lineRule="auto"/>
      </w:pPr>
      <w:r>
        <w:separator/>
      </w:r>
    </w:p>
  </w:endnote>
  <w:endnote w:type="continuationSeparator" w:id="0">
    <w:p w14:paraId="66867A80" w14:textId="77777777" w:rsidR="006D5AAD" w:rsidRDefault="006D5AAD" w:rsidP="004F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DCF5E" w14:textId="77777777" w:rsidR="00004CDD" w:rsidRDefault="00004CD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512353"/>
      <w:docPartObj>
        <w:docPartGallery w:val="Page Numbers (Bottom of Page)"/>
        <w:docPartUnique/>
      </w:docPartObj>
    </w:sdtPr>
    <w:sdtEndPr/>
    <w:sdtContent>
      <w:p w14:paraId="43C4CCDB" w14:textId="5CFFD767" w:rsidR="00E65532" w:rsidRDefault="00E65532" w:rsidP="00E65532">
        <w:pPr>
          <w:pStyle w:val="Pieddepage"/>
          <w:rPr>
            <w:i/>
            <w:sz w:val="16"/>
            <w:szCs w:val="16"/>
          </w:rPr>
        </w:pPr>
        <w:r>
          <w:rPr>
            <w:i/>
            <w:sz w:val="16"/>
            <w:szCs w:val="16"/>
          </w:rPr>
          <w:t xml:space="preserve">Pour une gestion décentralisée </w:t>
        </w:r>
        <w:r w:rsidR="00004CDD">
          <w:rPr>
            <w:i/>
            <w:sz w:val="16"/>
            <w:szCs w:val="16"/>
          </w:rPr>
          <w:t>réussie – D</w:t>
        </w:r>
        <w:r>
          <w:rPr>
            <w:i/>
            <w:sz w:val="16"/>
            <w:szCs w:val="16"/>
          </w:rPr>
          <w:t>e la commission scolaire vers l’établissement</w:t>
        </w:r>
      </w:p>
      <w:p w14:paraId="1CD5293D" w14:textId="5B3A57A8" w:rsidR="00BC3DCC" w:rsidRDefault="00BC3DCC" w:rsidP="0011629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3E0" w:rsidRPr="009003E0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35D06" w14:textId="77777777" w:rsidR="00004CDD" w:rsidRDefault="00004C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804" w14:textId="77777777" w:rsidR="006D5AAD" w:rsidRDefault="006D5AAD" w:rsidP="004F3418">
      <w:pPr>
        <w:spacing w:after="0" w:line="240" w:lineRule="auto"/>
      </w:pPr>
      <w:r>
        <w:separator/>
      </w:r>
    </w:p>
  </w:footnote>
  <w:footnote w:type="continuationSeparator" w:id="0">
    <w:p w14:paraId="481312AB" w14:textId="77777777" w:rsidR="006D5AAD" w:rsidRDefault="006D5AAD" w:rsidP="004F3418">
      <w:pPr>
        <w:spacing w:after="0" w:line="240" w:lineRule="auto"/>
      </w:pPr>
      <w:r>
        <w:continuationSeparator/>
      </w:r>
    </w:p>
  </w:footnote>
  <w:footnote w:id="1">
    <w:p w14:paraId="57223314" w14:textId="1C476C6F" w:rsidR="000E52BA" w:rsidRDefault="000E52BA">
      <w:pPr>
        <w:pStyle w:val="Notedebasdepage"/>
      </w:pPr>
      <w:r>
        <w:rPr>
          <w:rStyle w:val="Appelnotedebasdep"/>
        </w:rPr>
        <w:footnoteRef/>
      </w:r>
      <w:r>
        <w:t xml:space="preserve"> Secrétariat du Conseil du trésor, </w:t>
      </w:r>
      <w:hyperlink r:id="rId1" w:history="1">
        <w:r w:rsidRPr="00AE6567">
          <w:rPr>
            <w:rStyle w:val="Lienhypertexte"/>
            <w:i/>
          </w:rPr>
          <w:t>Modernisation de la gestion publique : Guide sur les indicateurs</w:t>
        </w:r>
      </w:hyperlink>
      <w:r>
        <w:t xml:space="preserve">, Québec, 2003. </w:t>
      </w:r>
    </w:p>
  </w:footnote>
  <w:footnote w:id="2">
    <w:p w14:paraId="283C1D1A" w14:textId="665DD867" w:rsidR="00AE6567" w:rsidRDefault="00AE6567">
      <w:pPr>
        <w:pStyle w:val="Notedebasdepage"/>
      </w:pPr>
      <w:r>
        <w:rPr>
          <w:rStyle w:val="Appelnotedebasdep"/>
        </w:rPr>
        <w:footnoteRef/>
      </w:r>
      <w:r>
        <w:t xml:space="preserve"> Secrétariat du Conseil du trésor, </w:t>
      </w:r>
      <w:hyperlink r:id="rId2" w:history="1">
        <w:r w:rsidRPr="00AE6567">
          <w:rPr>
            <w:rStyle w:val="Lienhypertexte"/>
            <w:i/>
          </w:rPr>
          <w:t>Modernisation de la gestion publique : Guide sur les indicateurs</w:t>
        </w:r>
      </w:hyperlink>
      <w:r>
        <w:t xml:space="preserve">, Québec, 2003. </w:t>
      </w:r>
    </w:p>
  </w:footnote>
  <w:footnote w:id="3">
    <w:p w14:paraId="6B752B51" w14:textId="03338CA6" w:rsidR="00AE6567" w:rsidRDefault="00AE6567">
      <w:pPr>
        <w:pStyle w:val="Notedebasdepage"/>
      </w:pPr>
      <w:r>
        <w:rPr>
          <w:rStyle w:val="Appelnotedebasdep"/>
        </w:rPr>
        <w:footnoteRef/>
      </w:r>
      <w:r>
        <w:t xml:space="preserve"> Ministère du Conseil exécutif, </w:t>
      </w:r>
      <w:r w:rsidRPr="00AE6567">
        <w:rPr>
          <w:i/>
        </w:rPr>
        <w:t>La planification stratégique au gouvernement du Québec : Du concept à la pratique</w:t>
      </w:r>
      <w:r>
        <w:t>, Québec, 2015.</w:t>
      </w:r>
    </w:p>
  </w:footnote>
  <w:footnote w:id="4">
    <w:p w14:paraId="28EE45EF" w14:textId="77777777" w:rsidR="00BC0E9D" w:rsidRDefault="00BC0E9D" w:rsidP="00011E1B">
      <w:pPr>
        <w:pStyle w:val="Notedebasdepage"/>
      </w:pPr>
      <w:r>
        <w:rPr>
          <w:rStyle w:val="Appelnotedebasdep"/>
        </w:rPr>
        <w:footnoteRef/>
      </w:r>
      <w:r>
        <w:t xml:space="preserve"> Secrétariat du Conseil du trésor, </w:t>
      </w:r>
      <w:hyperlink r:id="rId3" w:history="1">
        <w:r w:rsidRPr="00AE6567">
          <w:rPr>
            <w:rStyle w:val="Lienhypertexte"/>
            <w:i/>
          </w:rPr>
          <w:t>Modernisation de la gestion publique : Guide sur les indicateurs</w:t>
        </w:r>
      </w:hyperlink>
      <w:r>
        <w:t xml:space="preserve">, Québec, 2003. </w:t>
      </w:r>
    </w:p>
  </w:footnote>
  <w:footnote w:id="5">
    <w:p w14:paraId="0E0AA5CE" w14:textId="77777777" w:rsidR="00BC0E9D" w:rsidRDefault="00BC0E9D">
      <w:pPr>
        <w:pStyle w:val="Notedebasdepage"/>
      </w:pPr>
      <w:r>
        <w:rPr>
          <w:rStyle w:val="Appelnotedebasdep"/>
        </w:rPr>
        <w:footnoteRef/>
      </w:r>
      <w:r>
        <w:t xml:space="preserve"> Secrétariat du Conseil du trésor, </w:t>
      </w:r>
      <w:hyperlink r:id="rId4" w:history="1">
        <w:r w:rsidRPr="00AE6567">
          <w:rPr>
            <w:rStyle w:val="Lienhypertexte"/>
            <w:i/>
          </w:rPr>
          <w:t>Modernisation de la gestion publique : Guide sur les indicateurs</w:t>
        </w:r>
      </w:hyperlink>
      <w:r>
        <w:t>, Québec, 2003.</w:t>
      </w:r>
    </w:p>
  </w:footnote>
  <w:footnote w:id="6">
    <w:p w14:paraId="290870C2" w14:textId="77777777" w:rsidR="00BC0E9D" w:rsidRDefault="00BC0E9D">
      <w:pPr>
        <w:pStyle w:val="Notedebasdepage"/>
      </w:pPr>
      <w:r>
        <w:rPr>
          <w:rStyle w:val="Appelnotedebasdep"/>
        </w:rPr>
        <w:footnoteRef/>
      </w:r>
      <w:r>
        <w:t xml:space="preserve"> Secrétariat du Conseil du trésor, </w:t>
      </w:r>
      <w:hyperlink r:id="rId5" w:history="1">
        <w:r w:rsidRPr="00AE6567">
          <w:rPr>
            <w:rStyle w:val="Lienhypertexte"/>
            <w:i/>
          </w:rPr>
          <w:t>Modernisation de la gestion publique : Guide sur les indicateurs</w:t>
        </w:r>
      </w:hyperlink>
      <w:r>
        <w:t>, Québec, 2003.</w:t>
      </w:r>
    </w:p>
  </w:footnote>
  <w:footnote w:id="7">
    <w:p w14:paraId="112DAB7C" w14:textId="17C75C15" w:rsidR="00BC0E9D" w:rsidRDefault="00BC0E9D">
      <w:pPr>
        <w:pStyle w:val="Notedebasdepage"/>
      </w:pPr>
      <w:r>
        <w:rPr>
          <w:rStyle w:val="Appelnotedebasdep"/>
        </w:rPr>
        <w:footnoteRef/>
      </w:r>
      <w:r>
        <w:t xml:space="preserve"> Secrétariat du Conseil du trésor, </w:t>
      </w:r>
      <w:hyperlink r:id="rId6" w:history="1">
        <w:r w:rsidRPr="00AE6567">
          <w:rPr>
            <w:rStyle w:val="Lienhypertexte"/>
            <w:i/>
          </w:rPr>
          <w:t>Modernisation de la gestion publique : Guide sur les indicateurs</w:t>
        </w:r>
      </w:hyperlink>
      <w:r>
        <w:t>, Québec, 2003.</w:t>
      </w:r>
    </w:p>
  </w:footnote>
  <w:footnote w:id="8">
    <w:p w14:paraId="6E60C8A9" w14:textId="77777777" w:rsidR="00BC0E9D" w:rsidRDefault="00BC0E9D" w:rsidP="00C96EA3">
      <w:pPr>
        <w:pStyle w:val="Notedebasdepage"/>
      </w:pPr>
      <w:r>
        <w:rPr>
          <w:rStyle w:val="Appelnotedebasdep"/>
        </w:rPr>
        <w:footnoteRef/>
      </w:r>
      <w:r>
        <w:t xml:space="preserve"> Ministère du Conseil exécutif, </w:t>
      </w:r>
      <w:r w:rsidRPr="00AE6567">
        <w:rPr>
          <w:i/>
        </w:rPr>
        <w:t>La planification stratégique au gouvernement du Québec : Du concept à la pratique</w:t>
      </w:r>
      <w:r>
        <w:t>, Québec, 2015.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E1028" w14:textId="4E7F80F9" w:rsidR="00826D9F" w:rsidRDefault="00826D9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4EAC" w14:textId="0F03B247" w:rsidR="00087FA8" w:rsidRDefault="00004CDD" w:rsidP="00087FA8">
    <w:pPr>
      <w:pStyle w:val="En-t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Orienter – A</w:t>
    </w:r>
    <w:r w:rsidR="00087FA8" w:rsidRPr="00A46889">
      <w:rPr>
        <w:rFonts w:ascii="Arial" w:hAnsi="Arial" w:cs="Arial"/>
        <w:sz w:val="18"/>
        <w:szCs w:val="18"/>
      </w:rPr>
      <w:t>nalyser</w:t>
    </w:r>
    <w:r w:rsidR="003A5EAF">
      <w:rPr>
        <w:rFonts w:ascii="Arial" w:hAnsi="Arial" w:cs="Arial"/>
        <w:sz w:val="18"/>
        <w:szCs w:val="18"/>
      </w:rPr>
      <w:t xml:space="preserve"> et Planifier</w:t>
    </w:r>
  </w:p>
  <w:p w14:paraId="21580580" w14:textId="31354BC9" w:rsidR="00087FA8" w:rsidRDefault="00087FA8" w:rsidP="00087FA8">
    <w:pPr>
      <w:pStyle w:val="En-tte"/>
      <w:tabs>
        <w:tab w:val="clear" w:pos="4320"/>
        <w:tab w:val="clear" w:pos="8640"/>
        <w:tab w:val="left" w:pos="358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  <w:p w14:paraId="10A76A2C" w14:textId="0C83A6DA" w:rsidR="00762DF4" w:rsidRPr="00EF16DD" w:rsidRDefault="002D4F64" w:rsidP="00EF16DD">
    <w:pPr>
      <w:pStyle w:val="En-tte"/>
      <w:jc w:val="center"/>
    </w:pPr>
    <w:r>
      <w:rPr>
        <w:rFonts w:ascii="Arial" w:hAnsi="Arial" w:cs="Arial"/>
        <w:sz w:val="24"/>
        <w:szCs w:val="24"/>
      </w:rPr>
      <w:t xml:space="preserve">Grille </w:t>
    </w:r>
    <w:r w:rsidR="0010129E">
      <w:rPr>
        <w:rFonts w:ascii="Arial" w:hAnsi="Arial" w:cs="Arial"/>
        <w:sz w:val="24"/>
        <w:szCs w:val="24"/>
      </w:rPr>
      <w:t>d’accompagnement – Établissement des</w:t>
    </w:r>
    <w:r>
      <w:rPr>
        <w:rFonts w:ascii="Arial" w:hAnsi="Arial" w:cs="Arial"/>
        <w:sz w:val="24"/>
        <w:szCs w:val="24"/>
      </w:rPr>
      <w:t xml:space="preserve"> objectifs</w:t>
    </w:r>
    <w:r w:rsidR="00732C6D">
      <w:rPr>
        <w:rFonts w:ascii="Arial" w:hAnsi="Arial" w:cs="Arial"/>
        <w:sz w:val="24"/>
        <w:szCs w:val="24"/>
      </w:rPr>
      <w:t>,</w:t>
    </w:r>
    <w:r>
      <w:rPr>
        <w:rFonts w:ascii="Arial" w:hAnsi="Arial" w:cs="Arial"/>
        <w:sz w:val="24"/>
        <w:szCs w:val="24"/>
      </w:rPr>
      <w:t xml:space="preserve"> des indicateurs</w:t>
    </w:r>
    <w:r w:rsidR="00732C6D">
      <w:rPr>
        <w:rFonts w:ascii="Arial" w:hAnsi="Arial" w:cs="Arial"/>
        <w:sz w:val="24"/>
        <w:szCs w:val="24"/>
      </w:rPr>
      <w:t xml:space="preserve"> et des cibles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9B7AD" w14:textId="4936985A" w:rsidR="00826D9F" w:rsidRDefault="00826D9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1451"/>
    <w:multiLevelType w:val="hybridMultilevel"/>
    <w:tmpl w:val="DC9CCDA2"/>
    <w:lvl w:ilvl="0" w:tplc="0FD0F6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929"/>
    <w:multiLevelType w:val="hybridMultilevel"/>
    <w:tmpl w:val="FA3A1FA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353F"/>
    <w:multiLevelType w:val="hybridMultilevel"/>
    <w:tmpl w:val="2FFC2BAC"/>
    <w:lvl w:ilvl="0" w:tplc="E5884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C81"/>
    <w:multiLevelType w:val="hybridMultilevel"/>
    <w:tmpl w:val="2D4ADB64"/>
    <w:lvl w:ilvl="0" w:tplc="16C83480">
      <w:start w:val="16"/>
      <w:numFmt w:val="bullet"/>
      <w:lvlText w:val="-"/>
      <w:lvlJc w:val="left"/>
      <w:pPr>
        <w:ind w:left="2579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39" w:hanging="360"/>
      </w:pPr>
      <w:rPr>
        <w:rFonts w:ascii="Wingdings" w:hAnsi="Wingdings" w:hint="default"/>
      </w:rPr>
    </w:lvl>
  </w:abstractNum>
  <w:abstractNum w:abstractNumId="4" w15:restartNumberingAfterBreak="0">
    <w:nsid w:val="3B184EDE"/>
    <w:multiLevelType w:val="hybridMultilevel"/>
    <w:tmpl w:val="BFBE8B48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61303"/>
    <w:multiLevelType w:val="hybridMultilevel"/>
    <w:tmpl w:val="0E2E6652"/>
    <w:lvl w:ilvl="0" w:tplc="16C83480">
      <w:start w:val="16"/>
      <w:numFmt w:val="bullet"/>
      <w:lvlText w:val="-"/>
      <w:lvlJc w:val="left"/>
      <w:pPr>
        <w:ind w:left="313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 w15:restartNumberingAfterBreak="0">
    <w:nsid w:val="3C511FFF"/>
    <w:multiLevelType w:val="hybridMultilevel"/>
    <w:tmpl w:val="C2F027E0"/>
    <w:lvl w:ilvl="0" w:tplc="57C6B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73491"/>
    <w:multiLevelType w:val="hybridMultilevel"/>
    <w:tmpl w:val="D0C6EFF2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57FDA"/>
    <w:multiLevelType w:val="hybridMultilevel"/>
    <w:tmpl w:val="583C632A"/>
    <w:lvl w:ilvl="0" w:tplc="0C0C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2B"/>
    <w:rsid w:val="00004CDD"/>
    <w:rsid w:val="00011E1B"/>
    <w:rsid w:val="000151F3"/>
    <w:rsid w:val="000218BC"/>
    <w:rsid w:val="0004394B"/>
    <w:rsid w:val="00047815"/>
    <w:rsid w:val="000536B1"/>
    <w:rsid w:val="00053846"/>
    <w:rsid w:val="0008124C"/>
    <w:rsid w:val="0008720C"/>
    <w:rsid w:val="00087FA8"/>
    <w:rsid w:val="000908BB"/>
    <w:rsid w:val="000E3382"/>
    <w:rsid w:val="000E52BA"/>
    <w:rsid w:val="000F6115"/>
    <w:rsid w:val="0010129E"/>
    <w:rsid w:val="00116297"/>
    <w:rsid w:val="00125B72"/>
    <w:rsid w:val="00126C28"/>
    <w:rsid w:val="00130D43"/>
    <w:rsid w:val="00147E58"/>
    <w:rsid w:val="00175264"/>
    <w:rsid w:val="00177C0E"/>
    <w:rsid w:val="0018599E"/>
    <w:rsid w:val="00197AB5"/>
    <w:rsid w:val="001A564B"/>
    <w:rsid w:val="001A5779"/>
    <w:rsid w:val="001A7D89"/>
    <w:rsid w:val="001B3FC0"/>
    <w:rsid w:val="001D75A1"/>
    <w:rsid w:val="001E0A27"/>
    <w:rsid w:val="001E3BD5"/>
    <w:rsid w:val="00207831"/>
    <w:rsid w:val="00237E55"/>
    <w:rsid w:val="002452D8"/>
    <w:rsid w:val="00290954"/>
    <w:rsid w:val="002A14E1"/>
    <w:rsid w:val="002B2E41"/>
    <w:rsid w:val="002C4860"/>
    <w:rsid w:val="002D4F64"/>
    <w:rsid w:val="002F4F39"/>
    <w:rsid w:val="003042DC"/>
    <w:rsid w:val="003107D1"/>
    <w:rsid w:val="00316DF3"/>
    <w:rsid w:val="00356D92"/>
    <w:rsid w:val="003A0617"/>
    <w:rsid w:val="003A5EAF"/>
    <w:rsid w:val="003A6443"/>
    <w:rsid w:val="003B2740"/>
    <w:rsid w:val="003D7E94"/>
    <w:rsid w:val="003E79EB"/>
    <w:rsid w:val="003F028F"/>
    <w:rsid w:val="003F3855"/>
    <w:rsid w:val="004004B9"/>
    <w:rsid w:val="004013A3"/>
    <w:rsid w:val="0040600F"/>
    <w:rsid w:val="00463D42"/>
    <w:rsid w:val="00482A3E"/>
    <w:rsid w:val="00497C76"/>
    <w:rsid w:val="004A06C1"/>
    <w:rsid w:val="004A66B0"/>
    <w:rsid w:val="004B457D"/>
    <w:rsid w:val="004E78D4"/>
    <w:rsid w:val="004F1D65"/>
    <w:rsid w:val="004F3418"/>
    <w:rsid w:val="004F3572"/>
    <w:rsid w:val="00505E03"/>
    <w:rsid w:val="00524CB6"/>
    <w:rsid w:val="00534A8D"/>
    <w:rsid w:val="00535A30"/>
    <w:rsid w:val="00552E80"/>
    <w:rsid w:val="005552C5"/>
    <w:rsid w:val="005674E1"/>
    <w:rsid w:val="00587701"/>
    <w:rsid w:val="00590944"/>
    <w:rsid w:val="005947D2"/>
    <w:rsid w:val="005A4110"/>
    <w:rsid w:val="005A513C"/>
    <w:rsid w:val="005D251E"/>
    <w:rsid w:val="005F1371"/>
    <w:rsid w:val="005F24B3"/>
    <w:rsid w:val="005F2879"/>
    <w:rsid w:val="005F38AA"/>
    <w:rsid w:val="0061212B"/>
    <w:rsid w:val="00612658"/>
    <w:rsid w:val="00625A84"/>
    <w:rsid w:val="00635F5F"/>
    <w:rsid w:val="0064533C"/>
    <w:rsid w:val="00665658"/>
    <w:rsid w:val="0068642B"/>
    <w:rsid w:val="006A6DCD"/>
    <w:rsid w:val="006B3F37"/>
    <w:rsid w:val="006B7218"/>
    <w:rsid w:val="006D5AAD"/>
    <w:rsid w:val="006F6969"/>
    <w:rsid w:val="0071215D"/>
    <w:rsid w:val="00732340"/>
    <w:rsid w:val="00732C6D"/>
    <w:rsid w:val="00740EE3"/>
    <w:rsid w:val="0075790E"/>
    <w:rsid w:val="00762DF4"/>
    <w:rsid w:val="00771BDF"/>
    <w:rsid w:val="007B7F42"/>
    <w:rsid w:val="007E2EBC"/>
    <w:rsid w:val="007E50C5"/>
    <w:rsid w:val="008048C1"/>
    <w:rsid w:val="00810B8A"/>
    <w:rsid w:val="00816AB3"/>
    <w:rsid w:val="00826D9F"/>
    <w:rsid w:val="008362CD"/>
    <w:rsid w:val="00841878"/>
    <w:rsid w:val="00841E92"/>
    <w:rsid w:val="008503FC"/>
    <w:rsid w:val="00851CE6"/>
    <w:rsid w:val="00856939"/>
    <w:rsid w:val="0086107C"/>
    <w:rsid w:val="00890D4F"/>
    <w:rsid w:val="009003E0"/>
    <w:rsid w:val="0090045A"/>
    <w:rsid w:val="00905ACC"/>
    <w:rsid w:val="009174DD"/>
    <w:rsid w:val="0092704F"/>
    <w:rsid w:val="009324F4"/>
    <w:rsid w:val="00943A14"/>
    <w:rsid w:val="00955FF6"/>
    <w:rsid w:val="009634A7"/>
    <w:rsid w:val="009846E0"/>
    <w:rsid w:val="00995AEB"/>
    <w:rsid w:val="009B133F"/>
    <w:rsid w:val="009C3DF3"/>
    <w:rsid w:val="009D05A1"/>
    <w:rsid w:val="009D751A"/>
    <w:rsid w:val="009E5CF4"/>
    <w:rsid w:val="009E7DE0"/>
    <w:rsid w:val="009F76B2"/>
    <w:rsid w:val="00A14C1D"/>
    <w:rsid w:val="00A2210B"/>
    <w:rsid w:val="00A42520"/>
    <w:rsid w:val="00A5173F"/>
    <w:rsid w:val="00A535E3"/>
    <w:rsid w:val="00A7252B"/>
    <w:rsid w:val="00A97540"/>
    <w:rsid w:val="00A979B5"/>
    <w:rsid w:val="00AB1758"/>
    <w:rsid w:val="00AB635A"/>
    <w:rsid w:val="00AC7264"/>
    <w:rsid w:val="00AD346C"/>
    <w:rsid w:val="00AE6567"/>
    <w:rsid w:val="00B26AFA"/>
    <w:rsid w:val="00B3281F"/>
    <w:rsid w:val="00B51BE9"/>
    <w:rsid w:val="00B66EB8"/>
    <w:rsid w:val="00B95BDE"/>
    <w:rsid w:val="00BB2F06"/>
    <w:rsid w:val="00BC0E9D"/>
    <w:rsid w:val="00BC3DCC"/>
    <w:rsid w:val="00BE3DD5"/>
    <w:rsid w:val="00BE55C3"/>
    <w:rsid w:val="00BF4DCB"/>
    <w:rsid w:val="00C02D71"/>
    <w:rsid w:val="00C03257"/>
    <w:rsid w:val="00C132A7"/>
    <w:rsid w:val="00C173F9"/>
    <w:rsid w:val="00C226C6"/>
    <w:rsid w:val="00C263BB"/>
    <w:rsid w:val="00C334B7"/>
    <w:rsid w:val="00C81220"/>
    <w:rsid w:val="00C84F53"/>
    <w:rsid w:val="00C96EA3"/>
    <w:rsid w:val="00CB1F29"/>
    <w:rsid w:val="00CB6A3E"/>
    <w:rsid w:val="00CE6392"/>
    <w:rsid w:val="00D4297A"/>
    <w:rsid w:val="00D453F8"/>
    <w:rsid w:val="00D7669E"/>
    <w:rsid w:val="00D770CC"/>
    <w:rsid w:val="00D90A87"/>
    <w:rsid w:val="00D93539"/>
    <w:rsid w:val="00DB3D1D"/>
    <w:rsid w:val="00DB66D2"/>
    <w:rsid w:val="00DD28FF"/>
    <w:rsid w:val="00DF5633"/>
    <w:rsid w:val="00E0794A"/>
    <w:rsid w:val="00E41606"/>
    <w:rsid w:val="00E62CA4"/>
    <w:rsid w:val="00E65532"/>
    <w:rsid w:val="00E924FF"/>
    <w:rsid w:val="00EB4EE5"/>
    <w:rsid w:val="00EC5DF5"/>
    <w:rsid w:val="00ED1175"/>
    <w:rsid w:val="00EF16DD"/>
    <w:rsid w:val="00EF5F2E"/>
    <w:rsid w:val="00F14103"/>
    <w:rsid w:val="00F27318"/>
    <w:rsid w:val="00F355EF"/>
    <w:rsid w:val="00F40869"/>
    <w:rsid w:val="00F41E7D"/>
    <w:rsid w:val="00F6641E"/>
    <w:rsid w:val="00F845D5"/>
    <w:rsid w:val="00FA3BF8"/>
    <w:rsid w:val="00FA569D"/>
    <w:rsid w:val="00FE4EE6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C4AA5"/>
  <w15:chartTrackingRefBased/>
  <w15:docId w15:val="{C9570E4A-FA12-4C36-9A18-6E675F7F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7C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94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341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341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F3418"/>
    <w:rPr>
      <w:vertAlign w:val="superscript"/>
    </w:rPr>
  </w:style>
  <w:style w:type="character" w:styleId="lev">
    <w:name w:val="Strong"/>
    <w:basedOn w:val="Policepardfaut"/>
    <w:uiPriority w:val="22"/>
    <w:qFormat/>
    <w:rsid w:val="004F341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C3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DCC"/>
  </w:style>
  <w:style w:type="paragraph" w:styleId="Pieddepage">
    <w:name w:val="footer"/>
    <w:basedOn w:val="Normal"/>
    <w:link w:val="PieddepageCar"/>
    <w:uiPriority w:val="99"/>
    <w:unhideWhenUsed/>
    <w:rsid w:val="00BC3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DCC"/>
  </w:style>
  <w:style w:type="character" w:styleId="Marquedecommentaire">
    <w:name w:val="annotation reference"/>
    <w:basedOn w:val="Policepardfaut"/>
    <w:uiPriority w:val="99"/>
    <w:semiHidden/>
    <w:unhideWhenUsed/>
    <w:rsid w:val="006864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64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64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64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642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E656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221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resor.gouv.qc.ca/fileadmin/PDF/publications/guide_indicateur.pdf" TargetMode="External"/><Relationship Id="rId2" Type="http://schemas.openxmlformats.org/officeDocument/2006/relationships/hyperlink" Target="https://www.tresor.gouv.qc.ca/fileadmin/PDF/publications/guide_indicateur.pdf" TargetMode="External"/><Relationship Id="rId1" Type="http://schemas.openxmlformats.org/officeDocument/2006/relationships/hyperlink" Target="https://www.tresor.gouv.qc.ca/fileadmin/PDF/publications/guide_indicateur.pdf" TargetMode="External"/><Relationship Id="rId6" Type="http://schemas.openxmlformats.org/officeDocument/2006/relationships/hyperlink" Target="https://www.tresor.gouv.qc.ca/fileadmin/PDF/publications/guide_indicateur.pdf" TargetMode="External"/><Relationship Id="rId5" Type="http://schemas.openxmlformats.org/officeDocument/2006/relationships/hyperlink" Target="https://www.tresor.gouv.qc.ca/fileadmin/PDF/publications/guide_indicateur.pdf" TargetMode="External"/><Relationship Id="rId4" Type="http://schemas.openxmlformats.org/officeDocument/2006/relationships/hyperlink" Target="https://www.tresor.gouv.qc.ca/fileadmin/PDF/publications/guide_indicateur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EB92-F252-4F8B-B025-E97EECDA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d'accompagnement - Établissement des objectifs, des indicateurs et des cibles</dc:title>
  <dc:subject/>
  <dc:creator>Ministère de l'Éducation et de l'Enseignement supérieur</dc:creator>
  <cp:keywords/>
  <dc:description/>
  <cp:lastModifiedBy>Myriam Fradette</cp:lastModifiedBy>
  <cp:revision>198</cp:revision>
  <dcterms:created xsi:type="dcterms:W3CDTF">2018-02-27T19:02:00Z</dcterms:created>
  <dcterms:modified xsi:type="dcterms:W3CDTF">2018-06-22T18:41:00Z</dcterms:modified>
</cp:coreProperties>
</file>